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9" w:type="dxa"/>
        <w:tblInd w:w="40" w:type="dxa"/>
        <w:tblCellMar>
          <w:left w:w="0" w:type="dxa"/>
          <w:right w:w="0" w:type="dxa"/>
        </w:tblCellMar>
        <w:tblLook w:val="0000" w:firstRow="0" w:lastRow="0" w:firstColumn="0" w:lastColumn="0" w:noHBand="0" w:noVBand="0"/>
      </w:tblPr>
      <w:tblGrid>
        <w:gridCol w:w="9999"/>
      </w:tblGrid>
      <w:tr w:rsidR="00154DB2" w:rsidRPr="00154DB2" w:rsidTr="008D0132">
        <w:trPr>
          <w:trHeight w:val="5931"/>
        </w:trPr>
        <w:tc>
          <w:tcPr>
            <w:tcW w:w="9999" w:type="dxa"/>
          </w:tcPr>
          <w:p w:rsidR="0021258F" w:rsidRPr="00154DB2" w:rsidRDefault="0021258F" w:rsidP="008D0132">
            <w:pPr>
              <w:pStyle w:val="Overskrift1"/>
              <w:rPr>
                <w:rFonts w:ascii="Times New Roman" w:hAnsi="Times New Roman" w:cs="Times New Roman"/>
                <w:noProof/>
                <w:color w:val="auto"/>
              </w:rPr>
            </w:pPr>
            <w:r w:rsidRPr="00154DB2">
              <w:rPr>
                <w:rFonts w:ascii="Times New Roman" w:hAnsi="Times New Roman" w:cs="Times New Roman"/>
                <w:noProof/>
                <w:color w:val="auto"/>
              </w:rPr>
              <w:t>J</w:t>
            </w:r>
            <w:r w:rsidR="009923CC" w:rsidRPr="00154DB2">
              <w:rPr>
                <w:rFonts w:ascii="Times New Roman" w:hAnsi="Times New Roman" w:cs="Times New Roman"/>
                <w:noProof/>
                <w:color w:val="auto"/>
              </w:rPr>
              <w:t>o</w:t>
            </w:r>
            <w:r w:rsidRPr="00154DB2">
              <w:rPr>
                <w:rFonts w:ascii="Times New Roman" w:hAnsi="Times New Roman" w:cs="Times New Roman"/>
                <w:noProof/>
                <w:color w:val="auto"/>
              </w:rPr>
              <w:t>urnalføring – hva skal jo</w:t>
            </w:r>
            <w:r w:rsidR="00BA3583">
              <w:rPr>
                <w:rFonts w:ascii="Times New Roman" w:hAnsi="Times New Roman" w:cs="Times New Roman"/>
                <w:noProof/>
                <w:color w:val="auto"/>
              </w:rPr>
              <w:t>urnalføres i saks- arkivsystemet</w:t>
            </w:r>
            <w:bookmarkStart w:id="0" w:name="_GoBack"/>
            <w:bookmarkEnd w:id="0"/>
          </w:p>
          <w:p w:rsidR="00D6680D" w:rsidRDefault="00D6680D" w:rsidP="008D0132">
            <w:pPr>
              <w:pStyle w:val="Overskrift1"/>
              <w:rPr>
                <w:rFonts w:ascii="Times New Roman" w:hAnsi="Times New Roman" w:cs="Times New Roman"/>
                <w:b w:val="0"/>
                <w:noProof/>
                <w:color w:val="auto"/>
                <w:sz w:val="28"/>
                <w:szCs w:val="28"/>
              </w:rPr>
            </w:pPr>
            <w:r>
              <w:rPr>
                <w:rFonts w:ascii="Times New Roman" w:hAnsi="Times New Roman" w:cs="Times New Roman"/>
                <w:b w:val="0"/>
                <w:noProof/>
                <w:color w:val="auto"/>
                <w:sz w:val="28"/>
                <w:szCs w:val="28"/>
              </w:rPr>
              <w:t xml:space="preserve">Sømna kommune er </w:t>
            </w:r>
            <w:r w:rsidR="00656F44">
              <w:rPr>
                <w:rFonts w:ascii="Times New Roman" w:hAnsi="Times New Roman" w:cs="Times New Roman"/>
                <w:b w:val="0"/>
                <w:noProof/>
                <w:color w:val="auto"/>
                <w:sz w:val="28"/>
                <w:szCs w:val="28"/>
              </w:rPr>
              <w:t xml:space="preserve">for tiden </w:t>
            </w:r>
            <w:r>
              <w:rPr>
                <w:rFonts w:ascii="Times New Roman" w:hAnsi="Times New Roman" w:cs="Times New Roman"/>
                <w:b w:val="0"/>
                <w:noProof/>
                <w:color w:val="auto"/>
                <w:sz w:val="28"/>
                <w:szCs w:val="28"/>
              </w:rPr>
              <w:t>i samabeid med Digitale Helgeland og de 4 andre Sør-Helgelandskommunenene, i en forhandlingsprosess med Sikri om oppgradering av Ephorte til Elements Cloud.</w:t>
            </w:r>
            <w:r w:rsidR="00867A6B">
              <w:rPr>
                <w:rFonts w:ascii="Times New Roman" w:hAnsi="Times New Roman" w:cs="Times New Roman"/>
                <w:b w:val="0"/>
                <w:noProof/>
                <w:color w:val="auto"/>
                <w:sz w:val="28"/>
                <w:szCs w:val="28"/>
              </w:rPr>
              <w:t xml:space="preserve"> Oppgraderingen er foreslått innført og skal tas i bruk i løpet av 2021/2022</w:t>
            </w:r>
          </w:p>
          <w:p w:rsidR="0021258F" w:rsidRPr="00154DB2" w:rsidRDefault="0021258F" w:rsidP="008D0132">
            <w:pPr>
              <w:pStyle w:val="Overskrift1"/>
              <w:rPr>
                <w:rFonts w:ascii="Times New Roman" w:hAnsi="Times New Roman" w:cs="Times New Roman"/>
                <w:b w:val="0"/>
                <w:noProof/>
                <w:color w:val="auto"/>
                <w:sz w:val="28"/>
                <w:szCs w:val="28"/>
              </w:rPr>
            </w:pPr>
            <w:r w:rsidRPr="00154DB2">
              <w:rPr>
                <w:rFonts w:ascii="Times New Roman" w:hAnsi="Times New Roman" w:cs="Times New Roman"/>
                <w:b w:val="0"/>
                <w:noProof/>
                <w:color w:val="auto"/>
                <w:sz w:val="28"/>
                <w:szCs w:val="28"/>
              </w:rPr>
              <w:t>Det er vanskelig å gi en fullstendig oversikt over hva som skal inn i ephorte og ikke. Vi skiller mellom arkivverdige dokumenter og dokumenter som skal arkivbegrenses. Ifølge arkivforskriften skal arkivverdig materiale føres i en journal, og ephorte er den eneste godkjente journalen vi har innenfor sak/arkiv. Journalføringsplikten gjelder både dokumenter som kommer inn til kommunen og dokumenter som produseres i kommunen.</w:t>
            </w:r>
          </w:p>
          <w:p w:rsidR="0021258F" w:rsidRPr="00154DB2" w:rsidRDefault="0021258F" w:rsidP="008D0132">
            <w:pPr>
              <w:pStyle w:val="Overskrift1"/>
              <w:rPr>
                <w:rFonts w:ascii="Times New Roman" w:hAnsi="Times New Roman" w:cs="Times New Roman"/>
                <w:b w:val="0"/>
                <w:noProof/>
                <w:color w:val="auto"/>
                <w:sz w:val="28"/>
                <w:szCs w:val="28"/>
              </w:rPr>
            </w:pPr>
            <w:r w:rsidRPr="00154DB2">
              <w:rPr>
                <w:rFonts w:ascii="Times New Roman" w:hAnsi="Times New Roman" w:cs="Times New Roman"/>
                <w:b w:val="0"/>
                <w:noProof/>
                <w:color w:val="auto"/>
                <w:sz w:val="28"/>
                <w:szCs w:val="28"/>
              </w:rPr>
              <w:t>E-post og sms, samt andre kommunikasjonsmåter med innbyggere, skal behandles på samme måte som vanlige papirdokumenter. Regnskapsbilag og lønnsbilag har dokumentasjonsverdi (arkivverdi), men de kommer inn under «bilagsarkivene» for regnskap og lønn, og skal derfor ikke inn i ephorte.</w:t>
            </w:r>
          </w:p>
          <w:p w:rsidR="0021258F" w:rsidRPr="00154DB2" w:rsidRDefault="0021258F" w:rsidP="008D0132">
            <w:pPr>
              <w:pStyle w:val="Overskrift1"/>
              <w:rPr>
                <w:rFonts w:ascii="Times New Roman" w:hAnsi="Times New Roman" w:cs="Times New Roman"/>
                <w:noProof/>
                <w:color w:val="auto"/>
                <w:sz w:val="28"/>
                <w:szCs w:val="28"/>
              </w:rPr>
            </w:pPr>
            <w:r w:rsidRPr="00154DB2">
              <w:rPr>
                <w:rFonts w:ascii="Times New Roman" w:hAnsi="Times New Roman" w:cs="Times New Roman"/>
                <w:b w:val="0"/>
                <w:noProof/>
                <w:color w:val="auto"/>
                <w:sz w:val="28"/>
                <w:szCs w:val="28"/>
              </w:rPr>
              <w:t>Nedenfor følger en oversikt over hva som regnes som arkivverdig og hva som skal arkivbegrenses. Oversikten er ikke fullstendig, men den burde være klargjørende på en del dokumenter</w:t>
            </w:r>
            <w:r w:rsidRPr="00154DB2">
              <w:rPr>
                <w:rFonts w:ascii="Times New Roman" w:hAnsi="Times New Roman" w:cs="Times New Roman"/>
                <w:noProof/>
                <w:color w:val="auto"/>
                <w:sz w:val="28"/>
                <w:szCs w:val="28"/>
              </w:rPr>
              <w:t xml:space="preserve"> </w:t>
            </w:r>
          </w:p>
          <w:p w:rsidR="0021258F" w:rsidRPr="00154DB2" w:rsidRDefault="0021258F" w:rsidP="008D0132">
            <w:pPr>
              <w:pStyle w:val="Overskrift2"/>
              <w:rPr>
                <w:rFonts w:ascii="Times New Roman" w:hAnsi="Times New Roman" w:cs="Times New Roman"/>
                <w:noProof/>
                <w:color w:val="auto"/>
              </w:rPr>
            </w:pPr>
            <w:r w:rsidRPr="00154DB2">
              <w:rPr>
                <w:rFonts w:ascii="Times New Roman" w:hAnsi="Times New Roman" w:cs="Times New Roman"/>
                <w:noProof/>
                <w:color w:val="auto"/>
              </w:rPr>
              <w:t>Arkivverdig (skal inn i ephorte)</w:t>
            </w:r>
          </w:p>
          <w:p w:rsidR="0021258F" w:rsidRPr="00154DB2" w:rsidRDefault="0021258F" w:rsidP="0021258F">
            <w:pPr>
              <w:pStyle w:val="Listeavsnitt"/>
              <w:numPr>
                <w:ilvl w:val="0"/>
                <w:numId w:val="2"/>
              </w:numPr>
              <w:rPr>
                <w:rFonts w:ascii="Times New Roman" w:hAnsi="Times New Roman" w:cs="Times New Roman"/>
                <w:color w:val="auto"/>
              </w:rPr>
            </w:pPr>
            <w:r w:rsidRPr="00154DB2">
              <w:rPr>
                <w:rFonts w:ascii="Times New Roman" w:hAnsi="Times New Roman" w:cs="Times New Roman"/>
                <w:b w:val="0"/>
                <w:color w:val="auto"/>
              </w:rPr>
              <w:t>Alt som skal saksbehandles (med saksbehandling menes i dette tilfellet at det foretas en for svar/handling/avgjørelse).</w:t>
            </w:r>
          </w:p>
          <w:p w:rsidR="0021258F" w:rsidRPr="00154DB2" w:rsidRDefault="0021258F" w:rsidP="0021258F">
            <w:pPr>
              <w:pStyle w:val="Listeavsnitt"/>
              <w:numPr>
                <w:ilvl w:val="0"/>
                <w:numId w:val="2"/>
              </w:numPr>
              <w:rPr>
                <w:rFonts w:ascii="Times New Roman" w:hAnsi="Times New Roman" w:cs="Times New Roman"/>
                <w:color w:val="auto"/>
              </w:rPr>
            </w:pPr>
            <w:r w:rsidRPr="00154DB2">
              <w:rPr>
                <w:rFonts w:ascii="Times New Roman" w:hAnsi="Times New Roman" w:cs="Times New Roman"/>
                <w:b w:val="0"/>
                <w:color w:val="auto"/>
              </w:rPr>
              <w:t>Alt som har dokumentasjonsverdi (både pr. i dag, historisk og ikke minst rettslig).</w:t>
            </w:r>
          </w:p>
          <w:p w:rsidR="0021258F" w:rsidRPr="00154DB2" w:rsidRDefault="0021258F" w:rsidP="0021258F">
            <w:pPr>
              <w:pStyle w:val="Listeavsnitt"/>
              <w:numPr>
                <w:ilvl w:val="0"/>
                <w:numId w:val="2"/>
              </w:numPr>
              <w:rPr>
                <w:rFonts w:ascii="Times New Roman" w:hAnsi="Times New Roman" w:cs="Times New Roman"/>
                <w:color w:val="auto"/>
              </w:rPr>
            </w:pPr>
            <w:r w:rsidRPr="00154DB2">
              <w:rPr>
                <w:rFonts w:ascii="Times New Roman" w:hAnsi="Times New Roman" w:cs="Times New Roman"/>
                <w:b w:val="0"/>
                <w:color w:val="auto"/>
              </w:rPr>
              <w:t>Kontrakter/skjøter – alle typer.</w:t>
            </w:r>
          </w:p>
          <w:p w:rsidR="0021258F" w:rsidRPr="00154DB2" w:rsidRDefault="0021258F" w:rsidP="0021258F">
            <w:pPr>
              <w:pStyle w:val="Listeavsnitt"/>
              <w:numPr>
                <w:ilvl w:val="0"/>
                <w:numId w:val="2"/>
              </w:numPr>
              <w:rPr>
                <w:rFonts w:ascii="Times New Roman" w:hAnsi="Times New Roman" w:cs="Times New Roman"/>
                <w:color w:val="auto"/>
                <w:szCs w:val="28"/>
              </w:rPr>
            </w:pPr>
            <w:r w:rsidRPr="00154DB2">
              <w:rPr>
                <w:rFonts w:ascii="Times New Roman" w:hAnsi="Times New Roman" w:cs="Times New Roman"/>
                <w:b w:val="0"/>
                <w:color w:val="auto"/>
                <w:szCs w:val="28"/>
              </w:rPr>
              <w:t>Avtaler – alle typer.</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Forhandlinger (eks lokale forhandlinger. Lønnsforhandlinger osv.)</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Garantier (eks bankgarantier)</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Reglement/vedtekter/rutiner (eks arbeidsreglement, SFO-vedtekter, telefonreglement, betalingsregulativ, osv.)</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Planer (eks edruskapsplaner, barnehageplaner, arkivplan osv.)</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Rapporter – hvis de har dokumentasjonsverdi</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 xml:space="preserve">Anbud </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Tilbud som vi har bedt om å få</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lastRenderedPageBreak/>
              <w:t>Alle større innkjøp skal dokumenteres</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Høringer</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Møtereferat – både egen og de vi mottar fra andre</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Egenproduserte rundskriv/rutiner og lignende (type notat)</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Interne dokumenter (type notat)</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 w:val="21"/>
                <w:szCs w:val="21"/>
                <w:lang w:eastAsia="nb-NO"/>
              </w:rPr>
            </w:pPr>
            <w:r w:rsidRPr="00154DB2">
              <w:rPr>
                <w:rFonts w:ascii="Times New Roman" w:eastAsia="Times New Roman" w:hAnsi="Times New Roman" w:cs="Times New Roman"/>
                <w:b w:val="0"/>
                <w:color w:val="auto"/>
                <w:szCs w:val="28"/>
                <w:lang w:eastAsia="nb-NO"/>
              </w:rPr>
              <w:t>Organisasjonsendringer</w:t>
            </w:r>
          </w:p>
          <w:p w:rsidR="0021258F" w:rsidRPr="00154DB2" w:rsidRDefault="0021258F" w:rsidP="008D0132">
            <w:pPr>
              <w:rPr>
                <w:rFonts w:ascii="Times New Roman" w:hAnsi="Times New Roman" w:cs="Times New Roman"/>
                <w:b w:val="0"/>
                <w:color w:val="auto"/>
                <w:sz w:val="36"/>
                <w:szCs w:val="36"/>
              </w:rPr>
            </w:pPr>
            <w:proofErr w:type="spellStart"/>
            <w:r w:rsidRPr="00154DB2">
              <w:rPr>
                <w:rFonts w:ascii="Times New Roman" w:hAnsi="Times New Roman" w:cs="Times New Roman"/>
                <w:b w:val="0"/>
                <w:color w:val="auto"/>
                <w:sz w:val="36"/>
                <w:szCs w:val="36"/>
              </w:rPr>
              <w:t>Arkivbegrenses</w:t>
            </w:r>
            <w:proofErr w:type="spellEnd"/>
            <w:r w:rsidRPr="00154DB2">
              <w:rPr>
                <w:rFonts w:ascii="Times New Roman" w:hAnsi="Times New Roman" w:cs="Times New Roman"/>
                <w:b w:val="0"/>
                <w:color w:val="auto"/>
                <w:sz w:val="36"/>
                <w:szCs w:val="36"/>
              </w:rPr>
              <w:t xml:space="preserve"> (skal ikke inn i </w:t>
            </w:r>
            <w:proofErr w:type="spellStart"/>
            <w:r w:rsidRPr="00154DB2">
              <w:rPr>
                <w:rFonts w:ascii="Times New Roman" w:hAnsi="Times New Roman" w:cs="Times New Roman"/>
                <w:b w:val="0"/>
                <w:color w:val="auto"/>
                <w:sz w:val="36"/>
                <w:szCs w:val="36"/>
              </w:rPr>
              <w:t>ephorte</w:t>
            </w:r>
            <w:proofErr w:type="spellEnd"/>
            <w:r w:rsidRPr="00154DB2">
              <w:rPr>
                <w:rFonts w:ascii="Times New Roman" w:hAnsi="Times New Roman" w:cs="Times New Roman"/>
                <w:b w:val="0"/>
                <w:color w:val="auto"/>
                <w:sz w:val="36"/>
                <w:szCs w:val="36"/>
              </w:rPr>
              <w:t>)</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Aviser</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Reklame</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Tilbud som vi ikke har bedt om å få</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 xml:space="preserve">Rundskriv vi mottar fra andre (Dersom rundskrivet krever en handling/avgjørelse må det inn i </w:t>
            </w:r>
            <w:proofErr w:type="spellStart"/>
            <w:r w:rsidRPr="00154DB2">
              <w:rPr>
                <w:rFonts w:ascii="Times New Roman" w:eastAsia="Times New Roman" w:hAnsi="Times New Roman" w:cs="Times New Roman"/>
                <w:b w:val="0"/>
                <w:color w:val="auto"/>
                <w:szCs w:val="28"/>
                <w:lang w:eastAsia="nb-NO"/>
              </w:rPr>
              <w:t>ephorte</w:t>
            </w:r>
            <w:proofErr w:type="spellEnd"/>
            <w:r w:rsidRPr="00154DB2">
              <w:rPr>
                <w:rFonts w:ascii="Times New Roman" w:eastAsia="Times New Roman" w:hAnsi="Times New Roman" w:cs="Times New Roman"/>
                <w:b w:val="0"/>
                <w:color w:val="auto"/>
                <w:szCs w:val="28"/>
                <w:lang w:eastAsia="nb-NO"/>
              </w:rPr>
              <w:t>)</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Møteinnkallinger vi får fra andre (kan tas inn dersom det er viktig dokumentasjon, men vanligvis ikke)</w:t>
            </w:r>
          </w:p>
          <w:p w:rsidR="0021258F" w:rsidRPr="00154DB2" w:rsidRDefault="0021258F" w:rsidP="0021258F">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val="0"/>
                <w:color w:val="auto"/>
                <w:szCs w:val="28"/>
                <w:lang w:eastAsia="nb-NO"/>
              </w:rPr>
            </w:pPr>
            <w:r w:rsidRPr="00154DB2">
              <w:rPr>
                <w:rFonts w:ascii="Times New Roman" w:eastAsia="Times New Roman" w:hAnsi="Times New Roman" w:cs="Times New Roman"/>
                <w:b w:val="0"/>
                <w:color w:val="auto"/>
                <w:szCs w:val="28"/>
                <w:lang w:eastAsia="nb-NO"/>
              </w:rPr>
              <w:t>Informasjon om lover og forskrifter</w:t>
            </w:r>
          </w:p>
          <w:p w:rsidR="0021258F" w:rsidRPr="00154DB2" w:rsidRDefault="0021258F" w:rsidP="008D0132">
            <w:pPr>
              <w:pStyle w:val="Listeavsnitt"/>
              <w:rPr>
                <w:rFonts w:ascii="Times New Roman" w:hAnsi="Times New Roman" w:cs="Times New Roman"/>
                <w:color w:val="auto"/>
              </w:rPr>
            </w:pPr>
          </w:p>
        </w:tc>
      </w:tr>
    </w:tbl>
    <w:p w:rsidR="0021258F" w:rsidRPr="0021258F" w:rsidRDefault="0021258F" w:rsidP="0021258F">
      <w:pPr>
        <w:rPr>
          <w:rFonts w:ascii="Times New Roman" w:hAnsi="Times New Roman" w:cs="Times New Roman"/>
          <w:noProof/>
        </w:rPr>
      </w:pPr>
    </w:p>
    <w:p w:rsidR="0021258F" w:rsidRPr="0021258F" w:rsidRDefault="0021258F" w:rsidP="0021258F">
      <w:pPr>
        <w:spacing w:after="200"/>
        <w:rPr>
          <w:rFonts w:ascii="Times New Roman" w:hAnsi="Times New Roman" w:cs="Times New Roman"/>
          <w:noProof/>
        </w:rPr>
      </w:pPr>
    </w:p>
    <w:p w:rsidR="00AB0B1C" w:rsidRPr="0021258F" w:rsidRDefault="00AB0B1C">
      <w:pPr>
        <w:rPr>
          <w:rFonts w:ascii="Times New Roman" w:hAnsi="Times New Roman" w:cs="Times New Roman"/>
        </w:rPr>
      </w:pPr>
    </w:p>
    <w:sectPr w:rsidR="00AB0B1C" w:rsidRPr="0021258F" w:rsidSect="00AB02A7">
      <w:headerReference w:type="default" r:id="rId7"/>
      <w:footerReference w:type="default" r:id="rId8"/>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D77" w:rsidRDefault="00DC3035">
      <w:pPr>
        <w:spacing w:line="240" w:lineRule="auto"/>
      </w:pPr>
      <w:r>
        <w:separator/>
      </w:r>
    </w:p>
  </w:endnote>
  <w:endnote w:type="continuationSeparator" w:id="0">
    <w:p w:rsidR="00F43D77" w:rsidRDefault="00DC3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890194395"/>
      <w:docPartObj>
        <w:docPartGallery w:val="Page Numbers (Bottom of Page)"/>
        <w:docPartUnique/>
      </w:docPartObj>
    </w:sdtPr>
    <w:sdtEndPr/>
    <w:sdtContent>
      <w:p w:rsidR="00DF027C" w:rsidRDefault="001E507F">
        <w:pPr>
          <w:pStyle w:val="Bunntekst"/>
          <w:jc w:val="center"/>
          <w:rPr>
            <w:noProof/>
          </w:rPr>
        </w:pPr>
        <w:r>
          <w:rPr>
            <w:noProof/>
            <w:lang w:bidi="nb-NO"/>
          </w:rPr>
          <w:fldChar w:fldCharType="begin"/>
        </w:r>
        <w:r>
          <w:rPr>
            <w:noProof/>
            <w:lang w:bidi="nb-NO"/>
          </w:rPr>
          <w:instrText xml:space="preserve"> PAGE   \* MERGEFORMAT </w:instrText>
        </w:r>
        <w:r>
          <w:rPr>
            <w:noProof/>
            <w:lang w:bidi="nb-NO"/>
          </w:rPr>
          <w:fldChar w:fldCharType="separate"/>
        </w:r>
        <w:r w:rsidR="00BA3583">
          <w:rPr>
            <w:noProof/>
            <w:lang w:bidi="nb-NO"/>
          </w:rPr>
          <w:t>2</w:t>
        </w:r>
        <w:r>
          <w:rPr>
            <w:noProof/>
            <w:lang w:bidi="nb-NO"/>
          </w:rPr>
          <w:fldChar w:fldCharType="end"/>
        </w:r>
      </w:p>
    </w:sdtContent>
  </w:sdt>
  <w:p w:rsidR="00DF027C" w:rsidRDefault="00BA3583">
    <w:pPr>
      <w:pStyle w:val="Bunnteks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D77" w:rsidRDefault="00DC3035">
      <w:pPr>
        <w:spacing w:line="240" w:lineRule="auto"/>
      </w:pPr>
      <w:r>
        <w:separator/>
      </w:r>
    </w:p>
  </w:footnote>
  <w:footnote w:type="continuationSeparator" w:id="0">
    <w:p w:rsidR="00F43D77" w:rsidRDefault="00DC30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5" w:type="dxa"/>
      <w:tblBorders>
        <w:top w:val="single" w:sz="36" w:space="0" w:color="505046" w:themeColor="text2"/>
        <w:left w:val="single" w:sz="36" w:space="0" w:color="505046" w:themeColor="text2"/>
        <w:bottom w:val="single" w:sz="36" w:space="0" w:color="505046" w:themeColor="text2"/>
        <w:right w:val="single" w:sz="36" w:space="0" w:color="505046" w:themeColor="text2"/>
        <w:insideH w:val="single" w:sz="36" w:space="0" w:color="505046" w:themeColor="text2"/>
        <w:insideV w:val="single" w:sz="36" w:space="0" w:color="505046" w:themeColor="text2"/>
      </w:tblBorders>
      <w:tblLook w:val="0000" w:firstRow="0" w:lastRow="0" w:firstColumn="0" w:lastColumn="0" w:noHBand="0" w:noVBand="0"/>
    </w:tblPr>
    <w:tblGrid>
      <w:gridCol w:w="10035"/>
    </w:tblGrid>
    <w:tr w:rsidR="00D077E9" w:rsidTr="00B267F0">
      <w:trPr>
        <w:trHeight w:val="978"/>
      </w:trPr>
      <w:tc>
        <w:tcPr>
          <w:tcW w:w="10035" w:type="dxa"/>
          <w:tcBorders>
            <w:top w:val="nil"/>
            <w:left w:val="nil"/>
            <w:bottom w:val="nil"/>
            <w:right w:val="nil"/>
          </w:tcBorders>
        </w:tcPr>
        <w:p w:rsidR="00D077E9" w:rsidRDefault="00BA3583">
          <w:pPr>
            <w:pStyle w:val="Topptekst"/>
            <w:rPr>
              <w:noProof/>
            </w:rPr>
          </w:pPr>
        </w:p>
      </w:tc>
    </w:tr>
  </w:tbl>
  <w:p w:rsidR="00D077E9" w:rsidRDefault="00BA3583" w:rsidP="00D077E9">
    <w:pPr>
      <w:pStyle w:val="Toppteks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6171"/>
    <w:multiLevelType w:val="hybridMultilevel"/>
    <w:tmpl w:val="DAEC16A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1E6C490E"/>
    <w:multiLevelType w:val="hybridMultilevel"/>
    <w:tmpl w:val="9F84F5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B1613B6"/>
    <w:multiLevelType w:val="hybridMultilevel"/>
    <w:tmpl w:val="B3A2C2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5B79F3"/>
    <w:multiLevelType w:val="hybridMultilevel"/>
    <w:tmpl w:val="3E743F2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D9C7348"/>
    <w:multiLevelType w:val="hybridMultilevel"/>
    <w:tmpl w:val="D328464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2F8547A8"/>
    <w:multiLevelType w:val="hybridMultilevel"/>
    <w:tmpl w:val="95AC4D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71451A"/>
    <w:multiLevelType w:val="hybridMultilevel"/>
    <w:tmpl w:val="4FF863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80623CE"/>
    <w:multiLevelType w:val="hybridMultilevel"/>
    <w:tmpl w:val="84F889C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64BB2809"/>
    <w:multiLevelType w:val="hybridMultilevel"/>
    <w:tmpl w:val="177C608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15:restartNumberingAfterBreak="0">
    <w:nsid w:val="6E6A37F1"/>
    <w:multiLevelType w:val="hybridMultilevel"/>
    <w:tmpl w:val="D78EF814"/>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9"/>
  </w:num>
  <w:num w:numId="4">
    <w:abstractNumId w:val="0"/>
  </w:num>
  <w:num w:numId="5">
    <w:abstractNumId w:val="7"/>
  </w:num>
  <w:num w:numId="6">
    <w:abstractNumId w:val="6"/>
  </w:num>
  <w:num w:numId="7">
    <w:abstractNumId w:val="8"/>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8F"/>
    <w:rsid w:val="00020015"/>
    <w:rsid w:val="000214F2"/>
    <w:rsid w:val="00051695"/>
    <w:rsid w:val="00082A57"/>
    <w:rsid w:val="0008348C"/>
    <w:rsid w:val="0009555F"/>
    <w:rsid w:val="000A79A7"/>
    <w:rsid w:val="000C6E26"/>
    <w:rsid w:val="000E31A1"/>
    <w:rsid w:val="000F0F28"/>
    <w:rsid w:val="000F4051"/>
    <w:rsid w:val="000F6892"/>
    <w:rsid w:val="00117D27"/>
    <w:rsid w:val="0013353C"/>
    <w:rsid w:val="00154DB2"/>
    <w:rsid w:val="001615BF"/>
    <w:rsid w:val="00174BE8"/>
    <w:rsid w:val="00177ED8"/>
    <w:rsid w:val="0018381B"/>
    <w:rsid w:val="00186EE0"/>
    <w:rsid w:val="001A3C19"/>
    <w:rsid w:val="001B1F55"/>
    <w:rsid w:val="001B5AEE"/>
    <w:rsid w:val="001D04EC"/>
    <w:rsid w:val="001E24EB"/>
    <w:rsid w:val="001E507F"/>
    <w:rsid w:val="001F1BF9"/>
    <w:rsid w:val="0021258F"/>
    <w:rsid w:val="00231E79"/>
    <w:rsid w:val="00232338"/>
    <w:rsid w:val="0024155E"/>
    <w:rsid w:val="00262D6C"/>
    <w:rsid w:val="002A5213"/>
    <w:rsid w:val="002C514B"/>
    <w:rsid w:val="002D4AD7"/>
    <w:rsid w:val="002E2F3D"/>
    <w:rsid w:val="002F4164"/>
    <w:rsid w:val="0030571C"/>
    <w:rsid w:val="003172D0"/>
    <w:rsid w:val="00350D39"/>
    <w:rsid w:val="00352087"/>
    <w:rsid w:val="00354403"/>
    <w:rsid w:val="0035645E"/>
    <w:rsid w:val="00363859"/>
    <w:rsid w:val="00363E16"/>
    <w:rsid w:val="00372807"/>
    <w:rsid w:val="003D35A4"/>
    <w:rsid w:val="003D688A"/>
    <w:rsid w:val="003E4357"/>
    <w:rsid w:val="003E7353"/>
    <w:rsid w:val="00400D64"/>
    <w:rsid w:val="004012A1"/>
    <w:rsid w:val="00403E55"/>
    <w:rsid w:val="00426901"/>
    <w:rsid w:val="004467B1"/>
    <w:rsid w:val="004476E0"/>
    <w:rsid w:val="004747C6"/>
    <w:rsid w:val="004773F8"/>
    <w:rsid w:val="00483D21"/>
    <w:rsid w:val="0049043E"/>
    <w:rsid w:val="004E0321"/>
    <w:rsid w:val="004E48B3"/>
    <w:rsid w:val="004E7F36"/>
    <w:rsid w:val="004F6BA2"/>
    <w:rsid w:val="005128B0"/>
    <w:rsid w:val="00526BEC"/>
    <w:rsid w:val="005409A1"/>
    <w:rsid w:val="00556187"/>
    <w:rsid w:val="0056766C"/>
    <w:rsid w:val="00576156"/>
    <w:rsid w:val="005972DF"/>
    <w:rsid w:val="005B3529"/>
    <w:rsid w:val="005C5039"/>
    <w:rsid w:val="005E2851"/>
    <w:rsid w:val="00611453"/>
    <w:rsid w:val="00616B65"/>
    <w:rsid w:val="00620CA7"/>
    <w:rsid w:val="006227CB"/>
    <w:rsid w:val="00656F44"/>
    <w:rsid w:val="006715DF"/>
    <w:rsid w:val="00675255"/>
    <w:rsid w:val="00676584"/>
    <w:rsid w:val="00687651"/>
    <w:rsid w:val="006917B8"/>
    <w:rsid w:val="00695B0A"/>
    <w:rsid w:val="006E0D14"/>
    <w:rsid w:val="006E2826"/>
    <w:rsid w:val="006E5829"/>
    <w:rsid w:val="006F5919"/>
    <w:rsid w:val="00706030"/>
    <w:rsid w:val="00707A6F"/>
    <w:rsid w:val="007171D9"/>
    <w:rsid w:val="00721BB0"/>
    <w:rsid w:val="007413C1"/>
    <w:rsid w:val="00746353"/>
    <w:rsid w:val="0075291C"/>
    <w:rsid w:val="00765947"/>
    <w:rsid w:val="00773F02"/>
    <w:rsid w:val="0077501D"/>
    <w:rsid w:val="0078132F"/>
    <w:rsid w:val="0078174C"/>
    <w:rsid w:val="00782279"/>
    <w:rsid w:val="00786181"/>
    <w:rsid w:val="0079206A"/>
    <w:rsid w:val="008171D5"/>
    <w:rsid w:val="008247AA"/>
    <w:rsid w:val="00836EE2"/>
    <w:rsid w:val="00850EC2"/>
    <w:rsid w:val="00853CB1"/>
    <w:rsid w:val="008555B9"/>
    <w:rsid w:val="00867A6B"/>
    <w:rsid w:val="00881C1C"/>
    <w:rsid w:val="0088389C"/>
    <w:rsid w:val="008916CB"/>
    <w:rsid w:val="008954AF"/>
    <w:rsid w:val="008D7F20"/>
    <w:rsid w:val="008E3F3E"/>
    <w:rsid w:val="008F5A9B"/>
    <w:rsid w:val="00906115"/>
    <w:rsid w:val="00906F4F"/>
    <w:rsid w:val="009116BE"/>
    <w:rsid w:val="009525B6"/>
    <w:rsid w:val="00962766"/>
    <w:rsid w:val="00980C7D"/>
    <w:rsid w:val="0098753E"/>
    <w:rsid w:val="009923CC"/>
    <w:rsid w:val="009C05F3"/>
    <w:rsid w:val="009D1FCB"/>
    <w:rsid w:val="009F7271"/>
    <w:rsid w:val="009F7C29"/>
    <w:rsid w:val="00A05480"/>
    <w:rsid w:val="00A2045C"/>
    <w:rsid w:val="00A329CF"/>
    <w:rsid w:val="00A330BC"/>
    <w:rsid w:val="00A62D90"/>
    <w:rsid w:val="00A65488"/>
    <w:rsid w:val="00A7072D"/>
    <w:rsid w:val="00A72578"/>
    <w:rsid w:val="00A82F3A"/>
    <w:rsid w:val="00A95E29"/>
    <w:rsid w:val="00A97C96"/>
    <w:rsid w:val="00AA02A3"/>
    <w:rsid w:val="00AA2ED8"/>
    <w:rsid w:val="00AB0B1C"/>
    <w:rsid w:val="00AB6B30"/>
    <w:rsid w:val="00AF0F21"/>
    <w:rsid w:val="00B0490C"/>
    <w:rsid w:val="00B267F0"/>
    <w:rsid w:val="00B27693"/>
    <w:rsid w:val="00B3765C"/>
    <w:rsid w:val="00B419DC"/>
    <w:rsid w:val="00B55509"/>
    <w:rsid w:val="00B70D30"/>
    <w:rsid w:val="00B82FE7"/>
    <w:rsid w:val="00B8362C"/>
    <w:rsid w:val="00BA08E9"/>
    <w:rsid w:val="00BA3583"/>
    <w:rsid w:val="00BB3438"/>
    <w:rsid w:val="00BB662D"/>
    <w:rsid w:val="00BB6BEC"/>
    <w:rsid w:val="00BC0EB6"/>
    <w:rsid w:val="00BC2137"/>
    <w:rsid w:val="00BC2A80"/>
    <w:rsid w:val="00BC3D46"/>
    <w:rsid w:val="00BE3739"/>
    <w:rsid w:val="00BE64B6"/>
    <w:rsid w:val="00C01581"/>
    <w:rsid w:val="00C17A79"/>
    <w:rsid w:val="00C22B6C"/>
    <w:rsid w:val="00C32A79"/>
    <w:rsid w:val="00C56433"/>
    <w:rsid w:val="00C6204A"/>
    <w:rsid w:val="00C656C7"/>
    <w:rsid w:val="00C72471"/>
    <w:rsid w:val="00C7613C"/>
    <w:rsid w:val="00C92DE6"/>
    <w:rsid w:val="00C96FEC"/>
    <w:rsid w:val="00CA095B"/>
    <w:rsid w:val="00CB3B04"/>
    <w:rsid w:val="00CC05D2"/>
    <w:rsid w:val="00CC6EF4"/>
    <w:rsid w:val="00D1270E"/>
    <w:rsid w:val="00D145E3"/>
    <w:rsid w:val="00D312D4"/>
    <w:rsid w:val="00D43356"/>
    <w:rsid w:val="00D46A06"/>
    <w:rsid w:val="00D50822"/>
    <w:rsid w:val="00D6680D"/>
    <w:rsid w:val="00D813DE"/>
    <w:rsid w:val="00D834DB"/>
    <w:rsid w:val="00D9389F"/>
    <w:rsid w:val="00DA0A25"/>
    <w:rsid w:val="00DA3C9B"/>
    <w:rsid w:val="00DC3035"/>
    <w:rsid w:val="00DD6173"/>
    <w:rsid w:val="00DE0CC5"/>
    <w:rsid w:val="00DE40B5"/>
    <w:rsid w:val="00DF52F2"/>
    <w:rsid w:val="00E04783"/>
    <w:rsid w:val="00E10642"/>
    <w:rsid w:val="00E1123E"/>
    <w:rsid w:val="00E216F7"/>
    <w:rsid w:val="00E6657E"/>
    <w:rsid w:val="00E7155E"/>
    <w:rsid w:val="00EB2E90"/>
    <w:rsid w:val="00EB7B4F"/>
    <w:rsid w:val="00EC096F"/>
    <w:rsid w:val="00EC2D9B"/>
    <w:rsid w:val="00EE3AC3"/>
    <w:rsid w:val="00EE4A79"/>
    <w:rsid w:val="00F26800"/>
    <w:rsid w:val="00F43D77"/>
    <w:rsid w:val="00F66B7C"/>
    <w:rsid w:val="00F81C22"/>
    <w:rsid w:val="00FA43EA"/>
    <w:rsid w:val="00FC2031"/>
    <w:rsid w:val="00FE12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4460"/>
  <w15:chartTrackingRefBased/>
  <w15:docId w15:val="{0F9A2B33-8E29-4658-81B6-05FF0514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8F"/>
    <w:pPr>
      <w:spacing w:after="0" w:line="276" w:lineRule="auto"/>
    </w:pPr>
    <w:rPr>
      <w:rFonts w:eastAsiaTheme="minorEastAsia"/>
      <w:b/>
      <w:color w:val="505046" w:themeColor="text2"/>
      <w:sz w:val="28"/>
    </w:rPr>
  </w:style>
  <w:style w:type="paragraph" w:styleId="Overskrift1">
    <w:name w:val="heading 1"/>
    <w:basedOn w:val="Normal"/>
    <w:link w:val="Overskrift1Tegn"/>
    <w:uiPriority w:val="4"/>
    <w:qFormat/>
    <w:rsid w:val="0021258F"/>
    <w:pPr>
      <w:keepNext/>
      <w:spacing w:before="240" w:after="60"/>
      <w:outlineLvl w:val="0"/>
    </w:pPr>
    <w:rPr>
      <w:rFonts w:asciiTheme="majorHAnsi" w:eastAsiaTheme="majorEastAsia" w:hAnsiTheme="majorHAnsi" w:cstheme="majorBidi"/>
      <w:color w:val="3B3B34" w:themeColor="text2" w:themeShade="BF"/>
      <w:kern w:val="28"/>
      <w:sz w:val="52"/>
      <w:szCs w:val="32"/>
    </w:rPr>
  </w:style>
  <w:style w:type="paragraph" w:styleId="Overskrift2">
    <w:name w:val="heading 2"/>
    <w:basedOn w:val="Normal"/>
    <w:next w:val="Normal"/>
    <w:link w:val="Overskrift2Tegn"/>
    <w:uiPriority w:val="4"/>
    <w:qFormat/>
    <w:rsid w:val="0021258F"/>
    <w:pPr>
      <w:keepNext/>
      <w:spacing w:after="240" w:line="240" w:lineRule="auto"/>
      <w:outlineLvl w:val="1"/>
    </w:pPr>
    <w:rPr>
      <w:rFonts w:eastAsiaTheme="majorEastAsia" w:cstheme="majorBidi"/>
      <w:b w:val="0"/>
      <w:sz w:val="3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4"/>
    <w:rsid w:val="0021258F"/>
    <w:rPr>
      <w:rFonts w:asciiTheme="majorHAnsi" w:eastAsiaTheme="majorEastAsia" w:hAnsiTheme="majorHAnsi" w:cstheme="majorBidi"/>
      <w:b/>
      <w:color w:val="3B3B34" w:themeColor="text2" w:themeShade="BF"/>
      <w:kern w:val="28"/>
      <w:sz w:val="52"/>
      <w:szCs w:val="32"/>
    </w:rPr>
  </w:style>
  <w:style w:type="character" w:customStyle="1" w:styleId="Overskrift2Tegn">
    <w:name w:val="Overskrift 2 Tegn"/>
    <w:basedOn w:val="Standardskriftforavsnitt"/>
    <w:link w:val="Overskrift2"/>
    <w:uiPriority w:val="9"/>
    <w:rsid w:val="0021258F"/>
    <w:rPr>
      <w:rFonts w:eastAsiaTheme="majorEastAsia" w:cstheme="majorBidi"/>
      <w:color w:val="505046" w:themeColor="text2"/>
      <w:sz w:val="36"/>
      <w:szCs w:val="26"/>
    </w:rPr>
  </w:style>
  <w:style w:type="paragraph" w:styleId="Topptekst">
    <w:name w:val="header"/>
    <w:basedOn w:val="Normal"/>
    <w:link w:val="TopptekstTegn"/>
    <w:uiPriority w:val="8"/>
    <w:unhideWhenUsed/>
    <w:rsid w:val="0021258F"/>
  </w:style>
  <w:style w:type="character" w:customStyle="1" w:styleId="TopptekstTegn">
    <w:name w:val="Topptekst Tegn"/>
    <w:basedOn w:val="Standardskriftforavsnitt"/>
    <w:link w:val="Topptekst"/>
    <w:uiPriority w:val="8"/>
    <w:rsid w:val="0021258F"/>
    <w:rPr>
      <w:rFonts w:eastAsiaTheme="minorEastAsia"/>
      <w:b/>
      <w:color w:val="505046" w:themeColor="text2"/>
      <w:sz w:val="28"/>
    </w:rPr>
  </w:style>
  <w:style w:type="paragraph" w:styleId="Bunntekst">
    <w:name w:val="footer"/>
    <w:basedOn w:val="Normal"/>
    <w:link w:val="BunntekstTegn"/>
    <w:uiPriority w:val="99"/>
    <w:unhideWhenUsed/>
    <w:rsid w:val="0021258F"/>
  </w:style>
  <w:style w:type="character" w:customStyle="1" w:styleId="BunntekstTegn">
    <w:name w:val="Bunntekst Tegn"/>
    <w:basedOn w:val="Standardskriftforavsnitt"/>
    <w:link w:val="Bunntekst"/>
    <w:uiPriority w:val="99"/>
    <w:rsid w:val="0021258F"/>
    <w:rPr>
      <w:rFonts w:eastAsiaTheme="minorEastAsia"/>
      <w:b/>
      <w:color w:val="505046" w:themeColor="text2"/>
      <w:sz w:val="28"/>
    </w:rPr>
  </w:style>
  <w:style w:type="paragraph" w:styleId="Listeavsnitt">
    <w:name w:val="List Paragraph"/>
    <w:basedOn w:val="Normal"/>
    <w:uiPriority w:val="34"/>
    <w:unhideWhenUsed/>
    <w:qFormat/>
    <w:rsid w:val="0021258F"/>
    <w:pPr>
      <w:ind w:left="720"/>
      <w:contextualSpacing/>
    </w:pPr>
  </w:style>
  <w:style w:type="table" w:styleId="Tabellrutenett">
    <w:name w:val="Table Grid"/>
    <w:basedOn w:val="Vanligtabell"/>
    <w:uiPriority w:val="39"/>
    <w:rsid w:val="00DC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5409A1"/>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409A1"/>
    <w:rPr>
      <w:rFonts w:ascii="Segoe UI" w:eastAsiaTheme="minorEastAsia" w:hAnsi="Segoe UI" w:cs="Segoe UI"/>
      <w:b/>
      <w:color w:val="505046"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Rød-Oransj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381</Words>
  <Characters>2022</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Busch - skattekemner</dc:creator>
  <cp:keywords/>
  <dc:description/>
  <cp:lastModifiedBy>Berit Busch - skattekemner</cp:lastModifiedBy>
  <cp:revision>8</cp:revision>
  <cp:lastPrinted>2021-03-15T09:55:00Z</cp:lastPrinted>
  <dcterms:created xsi:type="dcterms:W3CDTF">2021-03-24T12:06:00Z</dcterms:created>
  <dcterms:modified xsi:type="dcterms:W3CDTF">2021-05-20T10:24:00Z</dcterms:modified>
</cp:coreProperties>
</file>